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46" w:rsidRDefault="00A90599" w:rsidP="00A90599">
      <w:bookmarkStart w:id="0" w:name="_GoBack"/>
      <w:r>
        <w:rPr>
          <w:rFonts w:hint="eastAsia"/>
        </w:rPr>
        <w:t>跨境电商案例申报表</w:t>
      </w:r>
    </w:p>
    <w:bookmarkEnd w:id="0"/>
    <w:p w:rsidR="00A54A46" w:rsidRDefault="00A90599" w:rsidP="00A90599">
      <w:r>
        <w:t>（</w:t>
      </w:r>
      <w:r>
        <w:t>202</w:t>
      </w:r>
      <w:r>
        <w:rPr>
          <w:rFonts w:hint="eastAsia"/>
        </w:rPr>
        <w:t>4</w:t>
      </w:r>
      <w:r>
        <w:t>年）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2553"/>
        <w:gridCol w:w="966"/>
        <w:gridCol w:w="64"/>
        <w:gridCol w:w="1381"/>
        <w:gridCol w:w="994"/>
        <w:gridCol w:w="2684"/>
      </w:tblGrid>
      <w:tr w:rsidR="00A54A46">
        <w:trPr>
          <w:trHeight w:val="60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机构名称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68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机构所在地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73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机构类型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b/>
                </w:rPr>
                <w:id w:val="103062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eastAsia="宋体"/>
              </w:rPr>
              <w:t>政府部门</w:t>
            </w:r>
            <w:r>
              <w:t xml:space="preserve">   </w:t>
            </w:r>
            <w:sdt>
              <w:sdtPr>
                <w:rPr>
                  <w:b/>
                </w:rPr>
                <w:id w:val="-14886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eastAsia="宋体"/>
              </w:rPr>
              <w:t>国际组织</w:t>
            </w:r>
            <w:r>
              <w:t xml:space="preserve">   </w:t>
            </w:r>
            <w:sdt>
              <w:sdtPr>
                <w:rPr>
                  <w:b/>
                </w:rPr>
                <w:id w:val="-126036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rPr>
                <w:rFonts w:eastAsia="宋体"/>
              </w:rPr>
              <w:t>企业</w:t>
            </w:r>
            <w:r>
              <w:t xml:space="preserve">   </w:t>
            </w:r>
            <w:sdt>
              <w:sdtPr>
                <w:rPr>
                  <w:b/>
                </w:rPr>
                <w:id w:val="-44801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eastAsia="宋体"/>
              </w:rPr>
              <w:t>其他</w:t>
            </w:r>
            <w:r>
              <w:rPr>
                <w:u w:val="single"/>
              </w:rPr>
              <w:t xml:space="preserve">        </w:t>
            </w:r>
          </w:p>
        </w:tc>
      </w:tr>
      <w:tr w:rsidR="00A54A46">
        <w:trPr>
          <w:jc w:val="center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联系人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t>姓名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t>邮箱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570"/>
          <w:jc w:val="center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t>电话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t>职务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2679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rFonts w:hint="eastAsia"/>
              </w:rPr>
              <w:t>其他参与机构</w:t>
            </w:r>
          </w:p>
          <w:p w:rsidR="00A54A46" w:rsidRDefault="00A90599" w:rsidP="00A90599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（如有，请列举）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  <w:p w:rsidR="00A54A46" w:rsidRDefault="00A54A46" w:rsidP="00A90599"/>
          <w:p w:rsidR="00A54A46" w:rsidRDefault="00A54A46" w:rsidP="00A90599"/>
        </w:tc>
      </w:tr>
      <w:tr w:rsidR="00A54A46">
        <w:trPr>
          <w:trHeight w:val="770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案例名称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4001"/>
          <w:jc w:val="center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r>
              <w:rPr>
                <w:color w:val="FF0000"/>
              </w:rPr>
              <w:t>*</w:t>
            </w:r>
            <w:r>
              <w:t>案例开始时间</w:t>
            </w:r>
          </w:p>
          <w:p w:rsidR="00A54A46" w:rsidRDefault="00A90599" w:rsidP="00A90599">
            <w:r>
              <w:t>（</w:t>
            </w:r>
            <w:r>
              <w:rPr>
                <w:rFonts w:hint="eastAsia"/>
              </w:rPr>
              <w:t>注：申报案例开始实施或部署的时间应在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年之后。</w:t>
            </w:r>
            <w:r>
              <w:t>）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54A46" w:rsidP="00A90599"/>
        </w:tc>
      </w:tr>
      <w:tr w:rsidR="00A54A46">
        <w:trPr>
          <w:trHeight w:val="556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FF0000"/>
                <w:sz w:val="24"/>
              </w:rPr>
              <w:t>*</w:t>
            </w:r>
            <w:r>
              <w:rPr>
                <w:rFonts w:ascii="Times New Roman" w:eastAsia="宋体"/>
              </w:rPr>
              <w:t>案例类别</w:t>
            </w:r>
            <w:r>
              <w:rPr>
                <w:rFonts w:hint="eastAsia"/>
              </w:rPr>
              <w:t>（选择案例最契合</w:t>
            </w:r>
            <w:r>
              <w:rPr>
                <w:rFonts w:ascii="黑体" w:eastAsia="黑体" w:hAnsi="黑体" w:hint="eastAsia"/>
                <w:b/>
                <w:sz w:val="28"/>
              </w:rPr>
              <w:t>领域</w:t>
            </w:r>
            <w:r>
              <w:rPr>
                <w:rFonts w:hint="eastAsia"/>
              </w:rPr>
              <w:t>）</w:t>
            </w:r>
          </w:p>
        </w:tc>
      </w:tr>
      <w:tr w:rsidR="00A54A46">
        <w:trPr>
          <w:trHeight w:val="3410"/>
          <w:jc w:val="center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-190976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促进贸易便利化的措施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-96751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货物通关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27991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数字通关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1399282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跨境电子支付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34059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跨境免税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67407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数字证书和电子签名认证与互认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34491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跨境物流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仓储</w:t>
            </w:r>
            <w:r>
              <w:rPr>
                <w:rFonts w:hint="eastAsia"/>
              </w:rPr>
              <w:t>及数字化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6675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......</w:t>
            </w:r>
            <w:r>
              <w:rPr>
                <w:rFonts w:hint="eastAsia"/>
              </w:rPr>
              <w:t>（如有其他，请补充）</w:t>
            </w:r>
          </w:p>
        </w:tc>
      </w:tr>
      <w:tr w:rsidR="00A54A46">
        <w:trPr>
          <w:trHeight w:val="690"/>
          <w:jc w:val="center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  <w:color w:val="4874CB" w:themeColor="accent1"/>
                </w:rPr>
                <w:id w:val="61248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跨境电商</w:t>
            </w:r>
            <w:r>
              <w:rPr>
                <w:rFonts w:hint="eastAsia"/>
              </w:rPr>
              <w:t>治理及规则创新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-7392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网络争议解决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1435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消费者保护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72178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知识产权保护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1988618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数据安全和个人信息保护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61652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数据跨境流动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规</w:t>
            </w:r>
            <w:r>
              <w:rPr>
                <w:rFonts w:hint="eastAsia"/>
              </w:rPr>
              <w:t>化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37970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跨境</w:t>
            </w:r>
            <w:r>
              <w:rPr>
                <w:rFonts w:hint="eastAsia"/>
              </w:rPr>
              <w:t>B2C</w:t>
            </w:r>
            <w:r>
              <w:rPr>
                <w:rFonts w:hint="eastAsia"/>
              </w:rPr>
              <w:t>通关规则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数字监管</w:t>
            </w:r>
            <w:r>
              <w:rPr>
                <w:rFonts w:hint="eastAsia"/>
              </w:rPr>
              <w:t>创新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175464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......</w:t>
            </w:r>
            <w:r>
              <w:rPr>
                <w:rFonts w:hint="eastAsia"/>
              </w:rPr>
              <w:t>（如有其他，请补充）</w:t>
            </w:r>
          </w:p>
        </w:tc>
      </w:tr>
      <w:tr w:rsidR="00A54A46">
        <w:trPr>
          <w:trHeight w:val="2490"/>
          <w:jc w:val="center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173920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跨境电商平台创新性发展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-15947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平台跨境综合化全面化服务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6597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平台治理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86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平台</w:t>
            </w:r>
            <w:r>
              <w:rPr>
                <w:rFonts w:hint="eastAsia"/>
              </w:rPr>
              <w:t>赋能</w:t>
            </w:r>
            <w:r>
              <w:rPr>
                <w:rFonts w:hint="eastAsia"/>
              </w:rPr>
              <w:t>中小或初创企业</w:t>
            </w:r>
            <w:r>
              <w:rPr>
                <w:rFonts w:hint="eastAsia"/>
              </w:rPr>
              <w:t>能力提升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81779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新业态新模式探索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882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......</w:t>
            </w:r>
            <w:r>
              <w:rPr>
                <w:rFonts w:hint="eastAsia"/>
              </w:rPr>
              <w:t>（如有其他，请补充）</w:t>
            </w:r>
          </w:p>
        </w:tc>
      </w:tr>
      <w:tr w:rsidR="00A54A46">
        <w:trPr>
          <w:trHeight w:val="2216"/>
          <w:jc w:val="center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20784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商品或服务创新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66474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品牌</w:t>
            </w:r>
            <w:r>
              <w:rPr>
                <w:rFonts w:hint="eastAsia"/>
              </w:rPr>
              <w:t>升级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200033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商品提供方式的创新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-19176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服务模式创新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9058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hint="eastAsia"/>
              </w:rPr>
              <w:t>实物商品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服务与</w:t>
            </w:r>
            <w:r>
              <w:rPr>
                <w:rFonts w:hint="eastAsia"/>
              </w:rPr>
              <w:t>数字化</w:t>
            </w:r>
            <w:r>
              <w:rPr>
                <w:rFonts w:hint="eastAsia"/>
              </w:rPr>
              <w:t>融合创新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60439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......</w:t>
            </w:r>
            <w:r>
              <w:rPr>
                <w:rFonts w:hint="eastAsia"/>
              </w:rPr>
              <w:t>（如有其他，请补充）</w:t>
            </w:r>
          </w:p>
        </w:tc>
      </w:tr>
      <w:tr w:rsidR="00A54A46">
        <w:trPr>
          <w:trHeight w:val="2216"/>
          <w:jc w:val="center"/>
        </w:trPr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35948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跨境电商主体的社会贡献</w:t>
            </w:r>
          </w:p>
        </w:tc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sdt>
              <w:sdtPr>
                <w:rPr>
                  <w:rFonts w:hint="eastAsia"/>
                </w:rPr>
                <w:id w:val="-66963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有关主体从事跨境业务对社会、就业、环境等方面的贡献。</w:t>
            </w:r>
          </w:p>
          <w:p w:rsidR="00A54A46" w:rsidRDefault="00A90599" w:rsidP="00A90599">
            <w:sdt>
              <w:sdtPr>
                <w:rPr>
                  <w:rFonts w:hint="eastAsia"/>
                </w:rPr>
                <w:id w:val="10992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......</w:t>
            </w:r>
            <w:r>
              <w:rPr>
                <w:rFonts w:hint="eastAsia"/>
              </w:rPr>
              <w:t>（如有其他，请补充）</w:t>
            </w:r>
          </w:p>
        </w:tc>
      </w:tr>
      <w:tr w:rsidR="00A54A46">
        <w:trPr>
          <w:trHeight w:val="90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</w:rPr>
              <w:t>*</w:t>
            </w:r>
            <w:r>
              <w:rPr>
                <w:rFonts w:ascii="Times New Roman" w:eastAsia="宋体" w:hAnsi="Times New Roman"/>
                <w:b/>
              </w:rPr>
              <w:t>案例</w:t>
            </w:r>
            <w:r>
              <w:rPr>
                <w:rFonts w:ascii="Times New Roman" w:eastAsia="宋体" w:hAnsi="Times New Roman" w:hint="eastAsia"/>
                <w:b/>
              </w:rPr>
              <w:t>概述</w:t>
            </w:r>
            <w:r>
              <w:rPr>
                <w:rFonts w:ascii="Times New Roman" w:eastAsia="宋体" w:hAnsi="Times New Roman"/>
              </w:rPr>
              <w:t>（</w:t>
            </w:r>
            <w:r>
              <w:rPr>
                <w:rFonts w:hAnsi="Times New Roman" w:hint="eastAsia"/>
              </w:rPr>
              <w:t>字数</w:t>
            </w:r>
            <w:r>
              <w:rPr>
                <w:rFonts w:ascii="黑体" w:eastAsia="黑体" w:hAnsi="黑体" w:hint="eastAsia"/>
                <w:b/>
                <w:sz w:val="28"/>
              </w:rPr>
              <w:t>3000</w:t>
            </w:r>
            <w:r>
              <w:rPr>
                <w:rFonts w:ascii="黑体" w:eastAsia="黑体" w:hAnsi="黑体" w:hint="eastAsia"/>
                <w:b/>
                <w:sz w:val="28"/>
              </w:rPr>
              <w:t>字以内</w:t>
            </w:r>
            <w:r>
              <w:rPr>
                <w:rFonts w:hint="eastAsia"/>
              </w:rPr>
              <w:t>，包括案例实施基本情况、涵盖国家或地区、带来的影响、产生的经济和社会价值等</w:t>
            </w:r>
            <w:r>
              <w:rPr>
                <w:rFonts w:ascii="Times New Roman" w:eastAsia="宋体" w:hAnsi="Times New Roman"/>
              </w:rPr>
              <w:t>）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  <w:p w:rsidR="00A54A46" w:rsidRDefault="00A54A46" w:rsidP="00A90599"/>
        </w:tc>
      </w:tr>
      <w:tr w:rsidR="00A54A46">
        <w:trPr>
          <w:trHeight w:val="3090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pPr>
              <w:rPr>
                <w:rFonts w:ascii="Times New Roman"/>
                <w:i/>
              </w:rPr>
            </w:pPr>
            <w:r>
              <w:rPr>
                <w:rFonts w:ascii="Times New Roman" w:eastAsia="宋体"/>
                <w:b/>
              </w:rPr>
              <w:lastRenderedPageBreak/>
              <w:t>附加材料清单</w:t>
            </w:r>
            <w:r>
              <w:rPr>
                <w:rFonts w:ascii="Times New Roman" w:eastAsia="宋体"/>
              </w:rPr>
              <w:t>（</w:t>
            </w:r>
            <w:r>
              <w:rPr>
                <w:rFonts w:hint="eastAsia"/>
              </w:rPr>
              <w:t>获奖证明、国际媒体报道，如有相关数据，亦可提供</w:t>
            </w:r>
            <w:r>
              <w:rPr>
                <w:rFonts w:ascii="Times New Roman"/>
              </w:rPr>
              <w:t>）</w:t>
            </w:r>
          </w:p>
          <w:p w:rsidR="00A54A46" w:rsidRDefault="00A90599" w:rsidP="00A90599">
            <w:r>
              <w:rPr>
                <w:rFonts w:hint="eastAsia"/>
              </w:rPr>
              <w:t>1</w:t>
            </w:r>
            <w:r>
              <w:t>.</w:t>
            </w:r>
          </w:p>
          <w:p w:rsidR="00A54A46" w:rsidRDefault="00A90599" w:rsidP="00A90599">
            <w:r>
              <w:rPr>
                <w:rFonts w:hint="eastAsia"/>
              </w:rPr>
              <w:t>2</w:t>
            </w:r>
            <w:r>
              <w:t>.</w:t>
            </w:r>
          </w:p>
          <w:p w:rsidR="00A54A46" w:rsidRDefault="00A90599" w:rsidP="00A90599">
            <w:r>
              <w:rPr>
                <w:rFonts w:hint="eastAsia"/>
              </w:rPr>
              <w:t>3</w:t>
            </w:r>
            <w:r>
              <w:t>.</w:t>
            </w:r>
          </w:p>
          <w:p w:rsidR="00A54A46" w:rsidRDefault="00A90599" w:rsidP="00A90599">
            <w:r>
              <w:t>4.</w:t>
            </w:r>
          </w:p>
          <w:p w:rsidR="00A54A46" w:rsidRDefault="00A90599" w:rsidP="00A90599">
            <w:r>
              <w:t>……</w:t>
            </w:r>
          </w:p>
          <w:p w:rsidR="00A54A46" w:rsidRDefault="00A54A46" w:rsidP="00A90599"/>
        </w:tc>
      </w:tr>
      <w:tr w:rsidR="00A54A46">
        <w:trPr>
          <w:trHeight w:val="4240"/>
          <w:jc w:val="center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46" w:rsidRDefault="00A90599" w:rsidP="00A90599">
            <w:pPr>
              <w:rPr>
                <w:sz w:val="28"/>
              </w:rPr>
            </w:pPr>
            <w:r>
              <w:rPr>
                <w:color w:val="FF0000"/>
                <w:sz w:val="28"/>
              </w:rPr>
              <w:t>*</w:t>
            </w:r>
            <w:r>
              <w:t>真实性承诺</w:t>
            </w:r>
          </w:p>
          <w:p w:rsidR="00A54A46" w:rsidRDefault="00A54A46" w:rsidP="00A90599"/>
          <w:p w:rsidR="00A54A46" w:rsidRDefault="00A90599" w:rsidP="00A90599">
            <w:r>
              <w:t>本单位</w:t>
            </w:r>
            <w:r>
              <w:t>/</w:t>
            </w:r>
            <w:r>
              <w:t>人在此承诺，以上信息真实、有效，如存在虚假情况，自愿承担一切后果</w:t>
            </w:r>
            <w:r>
              <w:t>。</w:t>
            </w:r>
          </w:p>
          <w:p w:rsidR="00A54A46" w:rsidRDefault="00A54A46" w:rsidP="00A90599"/>
          <w:p w:rsidR="00A54A46" w:rsidRDefault="00A54A46" w:rsidP="00A90599"/>
          <w:p w:rsidR="00A54A46" w:rsidRDefault="00A90599" w:rsidP="00A90599">
            <w:r>
              <w:t>单位名称：</w:t>
            </w:r>
            <w:r>
              <w:t xml:space="preserve"> </w:t>
            </w:r>
            <w:r>
              <w:t>（请加盖公章</w:t>
            </w:r>
            <w:r>
              <w:t>）</w:t>
            </w:r>
          </w:p>
          <w:p w:rsidR="00A54A46" w:rsidRDefault="00A54A46" w:rsidP="00A90599"/>
          <w:p w:rsidR="00A54A46" w:rsidRDefault="00A90599" w:rsidP="00A90599">
            <w:r>
              <w:t>负责人签字</w:t>
            </w:r>
            <w:r>
              <w:t>：</w:t>
            </w:r>
          </w:p>
          <w:p w:rsidR="00A54A46" w:rsidRDefault="00A54A46" w:rsidP="00A90599"/>
          <w:p w:rsidR="00A54A46" w:rsidRDefault="00A90599" w:rsidP="00A90599">
            <w:pPr>
              <w:rPr>
                <w:sz w:val="24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</w:rPr>
              <w:t>4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 xml:space="preserve"> 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 xml:space="preserve">   </w:t>
            </w:r>
            <w:r>
              <w:t>日</w:t>
            </w:r>
          </w:p>
        </w:tc>
      </w:tr>
    </w:tbl>
    <w:p w:rsidR="00A54A46" w:rsidRDefault="00A90599" w:rsidP="00A90599">
      <w:r>
        <w:t>填写说明：</w:t>
      </w:r>
    </w:p>
    <w:p w:rsidR="00A54A46" w:rsidRDefault="00A90599" w:rsidP="00A90599">
      <w:pPr>
        <w:pStyle w:val="a4"/>
        <w:numPr>
          <w:ilvl w:val="0"/>
          <w:numId w:val="1"/>
        </w:numPr>
        <w:ind w:firstLineChars="0"/>
      </w:pPr>
      <w:r>
        <w:t>带</w:t>
      </w:r>
      <w:r>
        <w:t xml:space="preserve">“ </w:t>
      </w:r>
      <w:r w:rsidRPr="00A90599">
        <w:rPr>
          <w:color w:val="FF0000"/>
        </w:rPr>
        <w:t xml:space="preserve">* </w:t>
      </w:r>
      <w:r>
        <w:t>”</w:t>
      </w:r>
      <w:r>
        <w:t>栏目为必填项。</w:t>
      </w:r>
    </w:p>
    <w:p w:rsidR="00A54A46" w:rsidRDefault="00A90599" w:rsidP="00A90599">
      <w:pPr>
        <w:pStyle w:val="a4"/>
        <w:numPr>
          <w:ilvl w:val="0"/>
          <w:numId w:val="1"/>
        </w:numPr>
        <w:ind w:firstLineChars="0"/>
      </w:pPr>
      <w:r>
        <w:t>案例实施或部署的时间应在</w:t>
      </w:r>
      <w:r>
        <w:rPr>
          <w:rFonts w:hint="eastAsia"/>
        </w:rPr>
        <w:t>2021</w:t>
      </w:r>
      <w:r>
        <w:t>年之后。</w:t>
      </w:r>
    </w:p>
    <w:p w:rsidR="00A54A46" w:rsidRDefault="00A90599" w:rsidP="00A90599">
      <w:pPr>
        <w:pStyle w:val="a4"/>
        <w:numPr>
          <w:ilvl w:val="0"/>
          <w:numId w:val="1"/>
        </w:numPr>
        <w:ind w:firstLineChars="0"/>
      </w:pPr>
      <w:r>
        <w:t>申报材料包括文字、图片、视频；要求图片清晰，分辨率不低于</w:t>
      </w:r>
      <w:r>
        <w:t>600dpi</w:t>
      </w:r>
      <w:r>
        <w:t>；视频要求画面构图完整清晰、拍摄手法丰富、内容真实有效，可采用</w:t>
      </w:r>
      <w:r>
        <w:t xml:space="preserve">AVI, MOV, </w:t>
      </w:r>
      <w:r>
        <w:t>MP4, WMV</w:t>
      </w:r>
      <w:r>
        <w:t>等格式，分辨率不低于</w:t>
      </w:r>
      <w:r>
        <w:t>720p</w:t>
      </w:r>
      <w:r>
        <w:t>。</w:t>
      </w:r>
    </w:p>
    <w:p w:rsidR="00A54A46" w:rsidRDefault="00A54A46" w:rsidP="00A90599"/>
    <w:p w:rsidR="00A54A46" w:rsidRDefault="00A54A46" w:rsidP="00A90599"/>
    <w:sectPr w:rsidR="00A54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97F1231"/>
    <w:multiLevelType w:val="singleLevel"/>
    <w:tmpl w:val="F97F123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jVhNGEyYzcyNmU2MGQwNGJjOWNjY2I4ZTM4NjUifQ=="/>
  </w:docVars>
  <w:rsids>
    <w:rsidRoot w:val="1EBC4FF1"/>
    <w:rsid w:val="00A54A46"/>
    <w:rsid w:val="00A90599"/>
    <w:rsid w:val="05EC086A"/>
    <w:rsid w:val="1EBC4FF1"/>
    <w:rsid w:val="60CE03DF"/>
    <w:rsid w:val="6DCD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6413C"/>
  <w15:docId w15:val="{6BDFBFF8-3DC1-44D3-B1BF-EDEC2B88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90599"/>
    <w:pPr>
      <w:widowControl w:val="0"/>
      <w:spacing w:line="500" w:lineRule="exact"/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Theme="majorEastAsia" w:hAnsi="Times New Roman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Theme="majorEastAsia" w:hAnsi="Times New Roman" w:cs="Arial"/>
      <w:b/>
      <w:bCs/>
      <w:snapToGrid w:val="0"/>
      <w:color w:val="000000"/>
      <w:kern w:val="44"/>
      <w:sz w:val="44"/>
      <w:szCs w:val="44"/>
      <w:lang w:eastAsia="en-US"/>
    </w:rPr>
  </w:style>
  <w:style w:type="paragraph" w:styleId="a4">
    <w:name w:val="List Paragraph"/>
    <w:basedOn w:val="a"/>
    <w:uiPriority w:val="99"/>
    <w:rsid w:val="00A905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WIC-research</dc:creator>
  <cp:lastModifiedBy>User</cp:lastModifiedBy>
  <cp:revision>2</cp:revision>
  <dcterms:created xsi:type="dcterms:W3CDTF">2024-01-16T09:05:00Z</dcterms:created>
  <dcterms:modified xsi:type="dcterms:W3CDTF">2024-03-13T10:04:00Z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4BB198937DF643E3B7D73F8361B007BB_13</vt:lpwstr>
  </property>
</Properties>
</file>